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</w:p>
    <w:p w:rsidR="002E60EE" w:rsidRDefault="002F70B5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Отчет о ходе реализации мероприятий 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«</w:t>
      </w:r>
      <w:r w:rsidR="00142124">
        <w:rPr>
          <w:rFonts w:ascii="Times New Roman" w:eastAsia="Times New Roman" w:hAnsi="Times New Roman" w:cs="Times New Roman"/>
          <w:color w:val="3C3C3C"/>
          <w:spacing w:val="2"/>
        </w:rPr>
        <w:t>Д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орожн</w:t>
      </w:r>
      <w:r>
        <w:rPr>
          <w:rFonts w:ascii="Times New Roman" w:eastAsia="Times New Roman" w:hAnsi="Times New Roman" w:cs="Times New Roman"/>
          <w:color w:val="3C3C3C"/>
          <w:spacing w:val="2"/>
        </w:rPr>
        <w:t>ой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 карт</w:t>
      </w:r>
      <w:r>
        <w:rPr>
          <w:rFonts w:ascii="Times New Roman" w:eastAsia="Times New Roman" w:hAnsi="Times New Roman" w:cs="Times New Roman"/>
          <w:color w:val="3C3C3C"/>
          <w:spacing w:val="2"/>
        </w:rPr>
        <w:t>ы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»</w:t>
      </w:r>
      <w:r w:rsidR="005D6033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по </w:t>
      </w:r>
      <w:r w:rsidR="002E60EE" w:rsidRPr="002E60EE">
        <w:rPr>
          <w:rFonts w:ascii="Times New Roman" w:eastAsia="Times New Roman" w:hAnsi="Times New Roman" w:cs="Times New Roman"/>
          <w:color w:val="3C3C3C"/>
          <w:spacing w:val="2"/>
        </w:rPr>
        <w:t>развитию конкуре</w:t>
      </w:r>
      <w:r w:rsidR="002E60EE">
        <w:rPr>
          <w:rFonts w:ascii="Times New Roman" w:eastAsia="Times New Roman" w:hAnsi="Times New Roman" w:cs="Times New Roman"/>
          <w:color w:val="3C3C3C"/>
          <w:spacing w:val="2"/>
        </w:rPr>
        <w:t>нции</w:t>
      </w:r>
    </w:p>
    <w:p w:rsidR="002E60E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2E60EE">
        <w:rPr>
          <w:rFonts w:ascii="Times New Roman" w:eastAsia="Times New Roman" w:hAnsi="Times New Roman" w:cs="Times New Roman"/>
          <w:color w:val="3C3C3C"/>
          <w:spacing w:val="2"/>
        </w:rPr>
        <w:t>на территории муниципального образования «Зеленоградский городской округ» на 2019-2022 годы</w:t>
      </w:r>
    </w:p>
    <w:p w:rsidR="00A03524" w:rsidRPr="00816B8E" w:rsidRDefault="00A03524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>по итогам 2020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89"/>
        <w:gridCol w:w="1398"/>
        <w:gridCol w:w="2124"/>
        <w:gridCol w:w="1606"/>
        <w:gridCol w:w="555"/>
        <w:gridCol w:w="32"/>
        <w:gridCol w:w="24"/>
        <w:gridCol w:w="807"/>
        <w:gridCol w:w="89"/>
        <w:gridCol w:w="24"/>
        <w:gridCol w:w="41"/>
        <w:gridCol w:w="71"/>
        <w:gridCol w:w="704"/>
        <w:gridCol w:w="110"/>
        <w:gridCol w:w="41"/>
        <w:gridCol w:w="704"/>
        <w:gridCol w:w="174"/>
        <w:gridCol w:w="687"/>
        <w:gridCol w:w="97"/>
        <w:gridCol w:w="46"/>
        <w:gridCol w:w="41"/>
        <w:gridCol w:w="79"/>
        <w:gridCol w:w="888"/>
        <w:gridCol w:w="1781"/>
      </w:tblGrid>
      <w:tr w:rsidR="00B74EEC" w:rsidRPr="006B5E2D" w:rsidTr="00FC3DCF">
        <w:trPr>
          <w:trHeight w:val="1140"/>
        </w:trPr>
        <w:tc>
          <w:tcPr>
            <w:tcW w:w="187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п</w:t>
            </w:r>
            <w:proofErr w:type="gramEnd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/п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749" w:type="pct"/>
            <w:vMerge w:val="restar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Ключевое событие (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)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. 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.</w:t>
            </w:r>
          </w:p>
        </w:tc>
        <w:tc>
          <w:tcPr>
            <w:tcW w:w="1018" w:type="pct"/>
            <w:gridSpan w:val="17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28" w:type="pct"/>
            <w:vMerge w:val="restar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Ответственный исполнитель</w:t>
            </w:r>
          </w:p>
        </w:tc>
      </w:tr>
      <w:tr w:rsidR="007C7319" w:rsidRPr="006B5E2D" w:rsidTr="00FC3DCF">
        <w:trPr>
          <w:trHeight w:val="390"/>
        </w:trPr>
        <w:tc>
          <w:tcPr>
            <w:tcW w:w="187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6B5E2D" w:rsidRPr="006B5E2D" w:rsidRDefault="007841F8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2018 </w:t>
            </w:r>
          </w:p>
        </w:tc>
        <w:tc>
          <w:tcPr>
            <w:tcW w:w="204" w:type="pct"/>
            <w:gridSpan w:val="5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204" w:type="pct"/>
            <w:gridSpan w:val="5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2021</w:t>
            </w:r>
          </w:p>
        </w:tc>
        <w:tc>
          <w:tcPr>
            <w:tcW w:w="204" w:type="pc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28" w:type="pct"/>
            <w:vMerge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390"/>
        </w:trPr>
        <w:tc>
          <w:tcPr>
            <w:tcW w:w="187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3</w:t>
            </w:r>
          </w:p>
        </w:tc>
        <w:tc>
          <w:tcPr>
            <w:tcW w:w="749" w:type="pc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6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7</w:t>
            </w:r>
          </w:p>
        </w:tc>
        <w:tc>
          <w:tcPr>
            <w:tcW w:w="204" w:type="pct"/>
            <w:gridSpan w:val="5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4" w:type="pct"/>
            <w:gridSpan w:val="5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8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B5E2D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4813" w:type="pct"/>
            <w:gridSpan w:val="24"/>
            <w:vAlign w:val="center"/>
          </w:tcPr>
          <w:p w:rsidR="006B5E2D" w:rsidRPr="00AE6451" w:rsidRDefault="006B5E2D" w:rsidP="00AE645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FC3DCF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FC3DCF" w:rsidRPr="006B5E2D" w:rsidRDefault="00FC3DCF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FC3DCF" w:rsidRPr="001C2BC9" w:rsidRDefault="00FC3DCF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округа функционирует 11 муниципальных дошкольных образовательных организаций (5– городских, 6 – в сельской местности), частных дошкольных образовательных организаций не зарегистрировано. Общая численность детей дошкольных образовательных организаций в 2020 году составила 1796 человек. </w:t>
            </w:r>
          </w:p>
          <w:p w:rsidR="00FC3DCF" w:rsidRPr="001C2BC9" w:rsidRDefault="00FC3DCF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Style w:val="111"/>
                <w:sz w:val="20"/>
                <w:szCs w:val="20"/>
              </w:rPr>
              <w:t xml:space="preserve">В муниципалитете нет очереди. </w:t>
            </w:r>
            <w:r w:rsidRPr="001C2BC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Услуга по предоставлению общедоступного и бесплатного дошкольного образования в муниципалитете реализована на 100% для нуждающихся детей в возрасте от 1,5 до 7 лет.</w:t>
            </w:r>
            <w:r w:rsidRPr="001C2BC9">
              <w:rPr>
                <w:spacing w:val="5"/>
                <w:sz w:val="20"/>
                <w:szCs w:val="20"/>
              </w:rPr>
              <w:t xml:space="preserve"> </w:t>
            </w:r>
          </w:p>
          <w:p w:rsidR="00FC3DCF" w:rsidRPr="001C2BC9" w:rsidRDefault="00FC3DCF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</w:t>
            </w:r>
            <w:r w:rsid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вопросам создания частных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B5E2D" w:rsidRPr="006B5E2D" w:rsidRDefault="001E1A13" w:rsidP="001E1A1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6B5E2D" w:rsidRPr="006B5E2D" w:rsidRDefault="001E1A13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6B5E2D" w:rsidRPr="006B5E2D" w:rsidRDefault="00AE6451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6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5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:rsidR="006B5E2D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 развитии сектора дошкольного образования на территории «Зеленоградского городского округа»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6B5E2D" w:rsidRDefault="00CE3692" w:rsidP="0090288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8" w:type="pct"/>
            <w:gridSpan w:val="17"/>
            <w:shd w:val="clear" w:color="auto" w:fill="auto"/>
            <w:vAlign w:val="center"/>
          </w:tcPr>
          <w:p w:rsidR="00CE3692" w:rsidRPr="006B5E2D" w:rsidRDefault="003C5D9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1C2BC9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1C2BC9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6B5E2D" w:rsidRDefault="00EA6D33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Численность детей и молодежи МО «Зеленоградский городской округ» в возрасте от 5 до 18 лет на 1 января 2020 года составляет 5731 человек, 72% из них охвачены услугами дополнительного образования на базе образовательных организаций. В муниципалитете работают 2 учреждения дополнительного образования: МАУ ДО ДЮСШ «Янтарь» (771 обучающийся) и МАУ ДО «ДШИ г. Зеленоградска» (310 обучающихся), услуги по дополнительному образованию также оказывает МАОУ «Гимназия «Вектор» г. Зеленоградска», где услуги получают 173 ребенка. </w:t>
            </w:r>
            <w:r w:rsidR="00CE3692"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Частных организаций, осуществляющих образовательную деятельность по дополнительным образовательным программам, на территории округа не зарегистрировано.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6B5E2D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консультационной и методической помощи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субъектам предпринимательской деятельности по вопросам лицензирования программ дополнительного образования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1C2BC9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1C2BC9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Информирование организаций, осуществляющих обучение, о мерах поддержки реализации программ дополнительного образования детей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1C2BC9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1C2BC9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1C2BC9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1C2BC9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8" w:type="pct"/>
            <w:gridSpan w:val="17"/>
            <w:shd w:val="clear" w:color="auto" w:fill="auto"/>
            <w:vAlign w:val="center"/>
          </w:tcPr>
          <w:p w:rsidR="00CE3692" w:rsidRPr="001C2BC9" w:rsidRDefault="00EA6D33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Вся информация публикуется на сайте администрации МО «Зеленоградский городской округ» </w:t>
            </w:r>
            <w:hyperlink r:id="rId8" w:history="1">
              <w:r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zelenogradsk</w:t>
              </w:r>
              <w:r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, новостных порталах образовательных организаций в сети Интернет </w:t>
            </w:r>
          </w:p>
        </w:tc>
        <w:tc>
          <w:tcPr>
            <w:tcW w:w="628" w:type="pct"/>
            <w:vAlign w:val="center"/>
          </w:tcPr>
          <w:p w:rsidR="00CE3692" w:rsidRPr="001C2BC9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1C2BC9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1C2BC9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6B5E2D" w:rsidRDefault="00B80DF0" w:rsidP="00B80DF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За 3 смены на базе пришкольных лагерей отдохнули 1253 детей, в том числе 631 ребенок из семей, находящихся в трудной жизненной ситуации. 25 детей работали и отдыхали в лагере труда и отдыха МАОУ «СОШ г. Зеленоградска». Трудовые бригады функционировали на базе 5 школ, трудом был занят 31 молодой человек. </w:t>
            </w:r>
            <w:r w:rsidR="00CE3692"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 округе функционируют 3 стационарных детских лагеря, 1 лагерь относится к частной форме собственности. В настоящее время в г. Зеленоградске завершается 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реконструкция спортивно</w:t>
            </w:r>
            <w:r w:rsidR="00CE3692"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-оздоровительного лагеря «Локомотив» (ОАО «РЖД») на 250 мест размещения, расположенного по ул. Гагарина, д.6а.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деятельности, а также лицензирования программ летних лагерей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F826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9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4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28" w:type="pct"/>
            <w:vAlign w:val="center"/>
          </w:tcPr>
          <w:p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142124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4212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конкурентных процедур по закупке услуг по предоставлению детского отдыха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142124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6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5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1C2BC9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1C2BC9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Формирование открытого реестра организаций отдыха и оздоровления, расположенных на территории округа и размещение его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1C2BC9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1C2BC9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1C2BC9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1C2BC9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8" w:type="pct"/>
            <w:gridSpan w:val="17"/>
            <w:shd w:val="clear" w:color="auto" w:fill="auto"/>
            <w:vAlign w:val="center"/>
          </w:tcPr>
          <w:p w:rsidR="00CE3692" w:rsidRPr="001C2BC9" w:rsidRDefault="00EB379F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hyperlink r:id="rId9" w:history="1">
              <w:r w:rsidR="00FC3DCF" w:rsidRPr="001C2BC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</w:rPr>
                <w:t>https://edu.gov39.ru/dlya-detey-i-roditeley/detskiy-otdykh/</w:t>
              </w:r>
            </w:hyperlink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https://zelenogradsk.com/news/?ELEMENT_ID=22184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https://zelenogradsk.com/news/?ELEMENT_ID=22152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https://zelenogradsk.com/news/?ELEMENT_ID=21967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https://zelenogradsk.com/news/?ELEMENT_ID=2191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8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https://zelenogradsk.com/news/?ELEMENT_ID=21892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https://zelenogradsk.com/news/?ELEMENT_ID=21877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https://zelenogradsk.com/news/?ELEMENT_ID=21857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https://zelenogradsk.com/news/?ELEMENT_ID=21783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https://zelenogradsk.com/news/?ELEMENT_ID=21738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https://zelenogradsk.com/news/?ELEMENT_ID=21545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https://zelenogradsk.com/news/?ELEMENT_ID=21361</w:t>
            </w:r>
          </w:p>
          <w:p w:rsidR="00FC3DCF" w:rsidRPr="001C2BC9" w:rsidRDefault="00FC3DCF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https://zelenogradsk.com/news/?ELEMENT_ID=21289</w:t>
            </w:r>
          </w:p>
        </w:tc>
        <w:tc>
          <w:tcPr>
            <w:tcW w:w="628" w:type="pct"/>
            <w:vAlign w:val="center"/>
          </w:tcPr>
          <w:p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E02814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медицинских услуг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E02814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Государственная система здравоохранения, представленная в округе, включает в себя больницу на 115 коек; поликлинику мощностью 328 посещений в смену; 16 фельдшерско-акушерских пунктов, 2 офиса врача общей практики, 1 врачебная амбулатория в сельской местности.</w:t>
            </w:r>
          </w:p>
          <w:p w:rsidR="00CE3692" w:rsidRPr="006B5E2D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негосударственных (немуниципальных) медицинских организаций не зарегистрировано.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3692" w:rsidRPr="006B5E2D" w:rsidRDefault="00CE3692" w:rsidP="00D74AA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</w:t>
            </w: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процедуры лицензирования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6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5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:rsidR="00CE3692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5516B6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E3692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CE3692" w:rsidRPr="005516B6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й, оказывающей услуги психолого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-педагогического сопровождения детей с ограниченными возможностями здоровья с раннего возраста на территории округа, является Федеральное государственное бюджетное учреждение детский психоневрологический санаторий «Теремок» Министерства здравоохранения Российской Федерации.</w:t>
            </w:r>
          </w:p>
          <w:p w:rsidR="00CE3692" w:rsidRPr="006B5E2D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на территории городского округа не зарегистрировано.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помощи по вопросам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предоставления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сопровождению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возможностями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здоровья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:rsidR="00D74AAB" w:rsidRPr="006B5E2D" w:rsidRDefault="00D74AAB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5516B6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социальных услуг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функционируют 6 учреждений социального обслуживания: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ГКУ «Центр занятости населения в Зеленоградском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МБУСО «Комплексный центр социального обслуживания населения в Зеленоградском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 Общественная организация «РУЧЕЁК»;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«ЭДЕМ»;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«Катрин»;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ООО «Усадьба </w:t>
            </w:r>
            <w:proofErr w:type="spell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Барежино</w:t>
            </w:r>
            <w:proofErr w:type="spell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».</w:t>
            </w:r>
          </w:p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составляет 60 процентов.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6.1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учреждений социального обслуживания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12" w:type="pct"/>
            <w:gridSpan w:val="5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0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31" w:type="pct"/>
            <w:gridSpan w:val="4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28" w:type="pct"/>
            <w:vAlign w:val="center"/>
          </w:tcPr>
          <w:p w:rsidR="00D74AAB" w:rsidRPr="006B5E2D" w:rsidRDefault="00D74AAB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 развитии сектора социальных услуг на территории «Зеленоградского городского округа»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8" w:type="pct"/>
            <w:gridSpan w:val="17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D74AAB" w:rsidRPr="006B5E2D" w:rsidRDefault="00D74AAB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EC10E2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EC10E2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ритуальных услуг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F03B3E" w:rsidRPr="00EC10E2" w:rsidRDefault="00D74AAB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муниципального образования «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Зеленоградский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городской округ» число объектов бытового обслуживания населения, оказывающих ритуальные услуги – 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две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</w:t>
            </w:r>
            <w:r w:rsidR="00FF74CA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МУП «Бытовое обслуживание г. Зеленоградска»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ООО 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Городская ритуальная служба 939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  <w:p w:rsidR="00F03B3E" w:rsidRPr="006B5E2D" w:rsidRDefault="00F03B3E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организаций сферы ритуальных услуг, основанных на иных формах собственности, в общем количестве учреждений всех форм собственности составляет 50 процентов.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EC10E2" w:rsidRPr="006B5E2D" w:rsidRDefault="00EC10E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C10E2" w:rsidRPr="006B5E2D" w:rsidRDefault="00EC10E2" w:rsidP="00EC10E2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организаций ритуальных услуг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C10E2" w:rsidRPr="006B5E2D" w:rsidRDefault="00EC10E2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EC10E2" w:rsidRPr="006B5E2D" w:rsidRDefault="00EC10E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EC10E2" w:rsidRPr="006B5E2D" w:rsidRDefault="00EC10E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EC10E2" w:rsidRPr="006B5E2D" w:rsidRDefault="00EC10E2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23" w:type="pct"/>
            <w:gridSpan w:val="5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9" w:type="pct"/>
            <w:gridSpan w:val="4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628" w:type="pct"/>
            <w:vAlign w:val="center"/>
          </w:tcPr>
          <w:p w:rsidR="00EC10E2" w:rsidRPr="006B5E2D" w:rsidRDefault="00EC10E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8F6B17" w:rsidRPr="006B5E2D" w:rsidRDefault="008F6B17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8F6B17" w:rsidRPr="006B5E2D" w:rsidRDefault="008F6B17" w:rsidP="008F6B1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задолженности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населения за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теплоснабжение перед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ресур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соснабжающими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49" w:type="pct"/>
            <w:vAlign w:val="center"/>
          </w:tcPr>
          <w:p w:rsidR="008F6B17" w:rsidRPr="006B5E2D" w:rsidRDefault="008F6B17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состоянии расчетов за тепловую энергию между потребителями и производителями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6" w:type="pct"/>
            <w:gridSpan w:val="16"/>
            <w:shd w:val="clear" w:color="auto" w:fill="auto"/>
            <w:vAlign w:val="center"/>
          </w:tcPr>
          <w:p w:rsidR="008F6B17" w:rsidRPr="006B5E2D" w:rsidRDefault="008F6B1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471800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4718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есообразности такого уменьшения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4718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749" w:type="pct"/>
            <w:vAlign w:val="center"/>
          </w:tcPr>
          <w:p w:rsidR="00B74EEC" w:rsidRPr="00BF45EA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74AAB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управляющих организаций, зарегистрированных на территории округа, получивших лицензии на осуществление деятельности по управлению многоквартирными домами за 20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год, составило 9 единиц.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Все управляющие организации относятся к частной форме собственности.</w:t>
            </w:r>
          </w:p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Управляющие организации, осуществляющие деятельность по управлению многоквартирными домами без лицензии не выявлены.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7B266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Проведение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жилищного контроля на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Зеленоградский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городской округ»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FC09D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нарушений прав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потребителей в сфере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хозяйства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B74EEC" w:rsidRPr="006B5E2D" w:rsidRDefault="00B74EEC" w:rsidP="00B74EE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249" w:type="pct"/>
            <w:gridSpan w:val="5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об управляющих организациях, действующих на территории «Зеленоградского городского округа»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B26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233A4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Зеленоградского городского округа осуществляется перевозка пассажиров и багажа по 5 (пяти) муниципальным маршрутам: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19 «Зеленоградск – 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Луговское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22 «Зеленоградск – Краснофлотское»;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200 «Зеленоградск – Дворики»;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210 «Зеленоградск – Морское»;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№1 «город Зеленоградск». 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Перевозку пассажиров и багажа по муниципальным маршрутам Зеленоградского городского окру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га осуществляет ООО «КРАНЦТРЕВЕЛ</w:t>
            </w:r>
            <w:r w:rsidR="007C05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». За истекший период 20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года пассажиропоток  на муниципальных маршрутах  составил более 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62000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человек.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Транспортная компания,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ющая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и багажа по 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находится в частной собственности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«Зеленоградского городского округа»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F51F7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49" w:type="pct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Создание новых маршрутов, удовлетворение в полном объеме </w:t>
            </w:r>
          </w:p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потребностей населения в перевозках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(например: 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Ространснадзор)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Вытеснение с рынка нелегальных перевозчиков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E565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  <w:r w:rsidR="00CE5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Постановление администрации муниципального образования «Зеленоградский городской округ»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1C2BC9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11.4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1C2BC9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конкурсного отбора (размещение в открытом доступе в сети Интернет с целью обеспечения максимальной доступности информации и прозрачности условий работы) перевозчиков на осуществление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1C2BC9" w:rsidRDefault="00997F6A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749" w:type="pct"/>
            <w:vAlign w:val="center"/>
          </w:tcPr>
          <w:p w:rsidR="00B74EEC" w:rsidRPr="001C2BC9" w:rsidRDefault="00B74EEC" w:rsidP="00D9650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Заключение договора на осуществление перевозок пассажиров автомобильным транспортом по муниципальным маршрутам 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регулярных перевозок сроком на 3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года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1C2BC9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1C2BC9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1C2BC9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D77C19" w:rsidRDefault="00B74EEC" w:rsidP="00D77C19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D77C1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Зеленоградского городского округа осуществляется перевозка пассажиров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семи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регулярных перевозок, а также 1 (один) международный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№140 Калининград - Зеленоградск (по "Приморскому кольцу" через пл. Василевского, Сосновку)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№141 Калининград - Зеленоградск (через Петрово, Сокольники)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№114 Калининград – Зеленоградск (через Орловку, Муромское)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№593 Калининград - Морское (через Зеленоградск, Лесное, Дюны, Рыбачий)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№123 Калининград - Колосовка (через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Холмогоровку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Павлинино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№587 Балтийск - Зеленоградск (через Янтарный, Светлогорск, Пионерский)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№596 Светлогорск - п. Морское (через Пионерский, Зеленоградск)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международный маршрут г. Калининград – г. Зеленоградск – г. Клайпеда (Литовская республика)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Все т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ые компании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перевозку пассажиров и багажа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находятся в частной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собственности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перевозке пассажиров автомобильным транспортом по межмуниципальным маршрутам регулярных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(и нерегулярных)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территории «Зеленоградского городского округа»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E31165" w:rsidRDefault="00B74EEC" w:rsidP="00B472CA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и багажа легковым такси на территории муниципального образования «Зеленоградского городского округа»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DF008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перевозке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«Зеленоградского городского округа»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E31165" w:rsidRDefault="00B74EEC" w:rsidP="00E31165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Рынок услуг связи, в том числе услуг по предоставлению широкополосного доступа к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информа</w:t>
            </w:r>
            <w:proofErr w:type="spellEnd"/>
            <w:r w:rsidR="00F357B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ционно</w:t>
            </w:r>
            <w:proofErr w:type="spellEnd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-телекоммуникационной сети «Интернет»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6B5E2D" w:rsidRDefault="00B74EEC" w:rsidP="006515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услуги мобильного широкополосного доступа в информационно-телекоммуникационную сеть «Интернет» осуществляют 5 операторов сотовой связи.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Доля домохозяйств, имеющих возможность пользоваться услугами мобильного широкополосного доступа в информационно-телекоммуникационную сеть «Интернет» на скорости не менее 1 Мбит/сек, составляет 100%.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качества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 по предоставлению широкополосного доступа к информационно-телекоммуникационной сети «Интернет»</w:t>
            </w:r>
          </w:p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еноградского городского округа»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Сбор и анализ заявлений граждан с жалобами и предложениями по качеству оказания услуг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широкополосного доступа к информационно-телекоммуникационной сети «Интернет»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информационных ресурсов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471970" w:rsidRDefault="00B74EEC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97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жилищного строительства</w:t>
            </w:r>
          </w:p>
        </w:tc>
      </w:tr>
      <w:tr w:rsidR="00B74EEC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жилья, комплексного освоения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земельных участков в целях строительства жилья.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Опубликование сведений о планируемых к проведению 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муниципалитета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62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мониторинга ввода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жилья в эксплуатацию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развитии рынка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жилищного строительства на территории муниципального образования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«Зеленоградский городской округ»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8315B6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8315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опубликования на в информационно-телекоммуникационной сети «Интернет» актуальных планов по созданию объектов инфраструктуры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662FA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сведений о д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территориальному планированию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п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прочее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393313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3933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планов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дорожной деятельности на территории муниципалитета,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архитектурно-строительного проектирования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открытых конкурсов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аукционов на право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архитектурно-строительного проектирования для нужд муниципалитета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Опубликование сведений о планируемых к проведению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конкурсах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реализации сельскохозяйственной продукции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D96507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D96507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19.4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мер государственной поддержки </w:t>
            </w: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31643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Количество получателей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грантов и субсидий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37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Управление сельского </w:t>
            </w: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племенного животноводства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26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32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семеноводства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консультационной помощи предприятиям малых форм хозяйствования </w:t>
            </w: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Количество предоставленных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Сфера наружной рекламы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4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муниципалитета</w:t>
            </w: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4" w:type="pct"/>
            <w:gridSpan w:val="18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предписаний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9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</w:tbl>
    <w:p w:rsidR="002E60EE" w:rsidRDefault="002E60EE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60EE" w:rsidSect="001C2BC9">
          <w:headerReference w:type="even" r:id="rId10"/>
          <w:pgSz w:w="16838" w:h="11906" w:orient="landscape"/>
          <w:pgMar w:top="567" w:right="992" w:bottom="851" w:left="709" w:header="709" w:footer="709" w:gutter="0"/>
          <w:cols w:space="708"/>
          <w:docGrid w:linePitch="360"/>
        </w:sectPr>
      </w:pPr>
    </w:p>
    <w:p w:rsidR="00560FFE" w:rsidRPr="00E47FF4" w:rsidRDefault="00560FFE" w:rsidP="002553AC">
      <w:pPr>
        <w:pStyle w:val="22"/>
        <w:spacing w:after="0"/>
        <w:ind w:left="0"/>
        <w:rPr>
          <w:szCs w:val="28"/>
        </w:rPr>
      </w:pPr>
    </w:p>
    <w:sectPr w:rsidR="00560FFE" w:rsidRPr="00E47FF4" w:rsidSect="00AA06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F" w:rsidRDefault="00EB379F" w:rsidP="00FA1941">
      <w:r>
        <w:separator/>
      </w:r>
    </w:p>
  </w:endnote>
  <w:endnote w:type="continuationSeparator" w:id="0">
    <w:p w:rsidR="00EB379F" w:rsidRDefault="00EB379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F" w:rsidRDefault="00EB379F" w:rsidP="00FA1941">
      <w:r>
        <w:separator/>
      </w:r>
    </w:p>
  </w:footnote>
  <w:footnote w:type="continuationSeparator" w:id="0">
    <w:p w:rsidR="00EB379F" w:rsidRDefault="00EB379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33" w:rsidRDefault="00EA6D33" w:rsidP="00CE580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D33" w:rsidRDefault="00EA6D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015E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14C9A"/>
    <w:rsid w:val="001245DC"/>
    <w:rsid w:val="00142124"/>
    <w:rsid w:val="00146E1C"/>
    <w:rsid w:val="0014708E"/>
    <w:rsid w:val="00147FDE"/>
    <w:rsid w:val="00184BCC"/>
    <w:rsid w:val="00186553"/>
    <w:rsid w:val="001C2BC9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23EB7"/>
    <w:rsid w:val="0023393C"/>
    <w:rsid w:val="00233A4C"/>
    <w:rsid w:val="00236F95"/>
    <w:rsid w:val="0024735F"/>
    <w:rsid w:val="00247582"/>
    <w:rsid w:val="00247DB5"/>
    <w:rsid w:val="002553AC"/>
    <w:rsid w:val="002626EB"/>
    <w:rsid w:val="00274CD9"/>
    <w:rsid w:val="0029460F"/>
    <w:rsid w:val="002B645D"/>
    <w:rsid w:val="002B71DB"/>
    <w:rsid w:val="002E17E9"/>
    <w:rsid w:val="002E60EE"/>
    <w:rsid w:val="002E6105"/>
    <w:rsid w:val="002F70B5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45A5"/>
    <w:rsid w:val="003C5D9B"/>
    <w:rsid w:val="003C6F77"/>
    <w:rsid w:val="003E0620"/>
    <w:rsid w:val="003E22E7"/>
    <w:rsid w:val="003F4B65"/>
    <w:rsid w:val="003F4C4C"/>
    <w:rsid w:val="004016A3"/>
    <w:rsid w:val="00422BA1"/>
    <w:rsid w:val="0044160B"/>
    <w:rsid w:val="00441A7A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3FDA"/>
    <w:rsid w:val="004A77D6"/>
    <w:rsid w:val="004B2FE8"/>
    <w:rsid w:val="004C2F62"/>
    <w:rsid w:val="00522427"/>
    <w:rsid w:val="00530B73"/>
    <w:rsid w:val="00533445"/>
    <w:rsid w:val="00535B82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D3ABF"/>
    <w:rsid w:val="005D6033"/>
    <w:rsid w:val="005E6D63"/>
    <w:rsid w:val="00613FE1"/>
    <w:rsid w:val="006464F6"/>
    <w:rsid w:val="006515A8"/>
    <w:rsid w:val="00652191"/>
    <w:rsid w:val="0065526C"/>
    <w:rsid w:val="0065746A"/>
    <w:rsid w:val="00662FA3"/>
    <w:rsid w:val="006632ED"/>
    <w:rsid w:val="006858BE"/>
    <w:rsid w:val="006B2433"/>
    <w:rsid w:val="006B5E2D"/>
    <w:rsid w:val="006C4A01"/>
    <w:rsid w:val="006E0F4A"/>
    <w:rsid w:val="006E3E7C"/>
    <w:rsid w:val="006F0522"/>
    <w:rsid w:val="006F1652"/>
    <w:rsid w:val="006F1D66"/>
    <w:rsid w:val="00712A7D"/>
    <w:rsid w:val="00740F9F"/>
    <w:rsid w:val="00770E44"/>
    <w:rsid w:val="007711B3"/>
    <w:rsid w:val="00772136"/>
    <w:rsid w:val="00780243"/>
    <w:rsid w:val="007841F8"/>
    <w:rsid w:val="00785DEF"/>
    <w:rsid w:val="00790A2C"/>
    <w:rsid w:val="0079266F"/>
    <w:rsid w:val="00794ED3"/>
    <w:rsid w:val="00797888"/>
    <w:rsid w:val="007B2661"/>
    <w:rsid w:val="007B578D"/>
    <w:rsid w:val="007C05D6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45F49"/>
    <w:rsid w:val="0086568D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93502"/>
    <w:rsid w:val="00997F6A"/>
    <w:rsid w:val="009A7DC9"/>
    <w:rsid w:val="009B5341"/>
    <w:rsid w:val="009B78D5"/>
    <w:rsid w:val="009C5258"/>
    <w:rsid w:val="009D0A90"/>
    <w:rsid w:val="009E1879"/>
    <w:rsid w:val="009E3D12"/>
    <w:rsid w:val="009E3E01"/>
    <w:rsid w:val="009E5C26"/>
    <w:rsid w:val="00A03524"/>
    <w:rsid w:val="00A532F9"/>
    <w:rsid w:val="00A54775"/>
    <w:rsid w:val="00A56739"/>
    <w:rsid w:val="00A62361"/>
    <w:rsid w:val="00A841D7"/>
    <w:rsid w:val="00AA06C7"/>
    <w:rsid w:val="00AA175C"/>
    <w:rsid w:val="00AA6DFE"/>
    <w:rsid w:val="00AB2D9C"/>
    <w:rsid w:val="00AB4516"/>
    <w:rsid w:val="00AE2F39"/>
    <w:rsid w:val="00AE6451"/>
    <w:rsid w:val="00B12FB1"/>
    <w:rsid w:val="00B15B67"/>
    <w:rsid w:val="00B17C8E"/>
    <w:rsid w:val="00B4219A"/>
    <w:rsid w:val="00B472CA"/>
    <w:rsid w:val="00B74EEC"/>
    <w:rsid w:val="00B80DF0"/>
    <w:rsid w:val="00B95E02"/>
    <w:rsid w:val="00BA087F"/>
    <w:rsid w:val="00BA22C1"/>
    <w:rsid w:val="00BB6E11"/>
    <w:rsid w:val="00BD4295"/>
    <w:rsid w:val="00BD5953"/>
    <w:rsid w:val="00BF1A86"/>
    <w:rsid w:val="00BF45EA"/>
    <w:rsid w:val="00C01561"/>
    <w:rsid w:val="00C17606"/>
    <w:rsid w:val="00C17A30"/>
    <w:rsid w:val="00C2697B"/>
    <w:rsid w:val="00C511CC"/>
    <w:rsid w:val="00C54D7E"/>
    <w:rsid w:val="00C6544D"/>
    <w:rsid w:val="00C74645"/>
    <w:rsid w:val="00C92ED2"/>
    <w:rsid w:val="00C96827"/>
    <w:rsid w:val="00C96DFB"/>
    <w:rsid w:val="00CA6734"/>
    <w:rsid w:val="00CB10E6"/>
    <w:rsid w:val="00CB6BEA"/>
    <w:rsid w:val="00CB7800"/>
    <w:rsid w:val="00CC5904"/>
    <w:rsid w:val="00CD3744"/>
    <w:rsid w:val="00CE3692"/>
    <w:rsid w:val="00CE5658"/>
    <w:rsid w:val="00CE580E"/>
    <w:rsid w:val="00CF3610"/>
    <w:rsid w:val="00D112C5"/>
    <w:rsid w:val="00D11D1A"/>
    <w:rsid w:val="00D14293"/>
    <w:rsid w:val="00D20935"/>
    <w:rsid w:val="00D21CBC"/>
    <w:rsid w:val="00D4179A"/>
    <w:rsid w:val="00D42698"/>
    <w:rsid w:val="00D55D9E"/>
    <w:rsid w:val="00D62CAF"/>
    <w:rsid w:val="00D640FF"/>
    <w:rsid w:val="00D74AAB"/>
    <w:rsid w:val="00D77C19"/>
    <w:rsid w:val="00D96507"/>
    <w:rsid w:val="00D9778E"/>
    <w:rsid w:val="00DA11C3"/>
    <w:rsid w:val="00DB6359"/>
    <w:rsid w:val="00DB6B9B"/>
    <w:rsid w:val="00DE0758"/>
    <w:rsid w:val="00DF008A"/>
    <w:rsid w:val="00E02814"/>
    <w:rsid w:val="00E04024"/>
    <w:rsid w:val="00E14B76"/>
    <w:rsid w:val="00E20A27"/>
    <w:rsid w:val="00E31165"/>
    <w:rsid w:val="00E4027B"/>
    <w:rsid w:val="00E57150"/>
    <w:rsid w:val="00E6458B"/>
    <w:rsid w:val="00E66D82"/>
    <w:rsid w:val="00E80C44"/>
    <w:rsid w:val="00E92716"/>
    <w:rsid w:val="00EA6D33"/>
    <w:rsid w:val="00EB379F"/>
    <w:rsid w:val="00EB796E"/>
    <w:rsid w:val="00EC10E2"/>
    <w:rsid w:val="00EC5479"/>
    <w:rsid w:val="00EF73C8"/>
    <w:rsid w:val="00F0387E"/>
    <w:rsid w:val="00F03B3E"/>
    <w:rsid w:val="00F056D9"/>
    <w:rsid w:val="00F1003A"/>
    <w:rsid w:val="00F23213"/>
    <w:rsid w:val="00F23E4D"/>
    <w:rsid w:val="00F317F1"/>
    <w:rsid w:val="00F357B5"/>
    <w:rsid w:val="00F36728"/>
    <w:rsid w:val="00F438FF"/>
    <w:rsid w:val="00F51F7C"/>
    <w:rsid w:val="00F551DA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C3DCF"/>
    <w:rsid w:val="00FC6C5D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6D33"/>
    <w:rPr>
      <w:color w:val="605E5C"/>
      <w:shd w:val="clear" w:color="auto" w:fill="E1DFDD"/>
    </w:rPr>
  </w:style>
  <w:style w:type="character" w:customStyle="1" w:styleId="111">
    <w:name w:val="Основной текст + 111"/>
    <w:aliases w:val="5 pt1"/>
    <w:rsid w:val="00FC3DCF"/>
    <w:rPr>
      <w:rFonts w:ascii="Times New Roman" w:hAnsi="Times New Roman" w:cs="Times New Roman" w:hint="default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A6D33"/>
    <w:rPr>
      <w:color w:val="605E5C"/>
      <w:shd w:val="clear" w:color="auto" w:fill="E1DFDD"/>
    </w:rPr>
  </w:style>
  <w:style w:type="character" w:customStyle="1" w:styleId="111">
    <w:name w:val="Основной текст + 111"/>
    <w:aliases w:val="5 pt1"/>
    <w:rsid w:val="00FC3DCF"/>
    <w:rPr>
      <w:rFonts w:ascii="Times New Roman" w:hAnsi="Times New Roman" w:cs="Times New Roman" w:hint="default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gov39.ru/dlya-detey-i-roditeley/detskiy-otd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8</cp:revision>
  <cp:lastPrinted>2021-02-15T09:59:00Z</cp:lastPrinted>
  <dcterms:created xsi:type="dcterms:W3CDTF">2021-01-22T12:21:00Z</dcterms:created>
  <dcterms:modified xsi:type="dcterms:W3CDTF">2021-02-15T10:05:00Z</dcterms:modified>
</cp:coreProperties>
</file>